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2132" w14:textId="7E90A4B6" w:rsidR="00771D04" w:rsidRDefault="00771D04" w:rsidP="00771D04">
      <w:pPr>
        <w:jc w:val="right"/>
      </w:pPr>
      <w:r>
        <w:rPr>
          <w:noProof/>
        </w:rPr>
        <w:drawing>
          <wp:anchor distT="0" distB="0" distL="114300" distR="114300" simplePos="0" relativeHeight="251658240" behindDoc="1" locked="0" layoutInCell="1" allowOverlap="1" wp14:anchorId="4DB39295" wp14:editId="1C36CEA7">
            <wp:simplePos x="0" y="0"/>
            <wp:positionH relativeFrom="column">
              <wp:posOffset>-448945</wp:posOffset>
            </wp:positionH>
            <wp:positionV relativeFrom="paragraph">
              <wp:posOffset>-487045</wp:posOffset>
            </wp:positionV>
            <wp:extent cx="7559040" cy="10697994"/>
            <wp:effectExtent l="0" t="0" r="3810" b="8255"/>
            <wp:wrapNone/>
            <wp:docPr id="728344239" name="Picture 1" descr="A grey border with a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44239" name="Picture 1" descr="A grey border with a design&#10;&#10;AI-generated content may be incorrect."/>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559040" cy="10697994"/>
                    </a:xfrm>
                    <a:prstGeom prst="rect">
                      <a:avLst/>
                    </a:prstGeom>
                  </pic:spPr>
                </pic:pic>
              </a:graphicData>
            </a:graphic>
            <wp14:sizeRelH relativeFrom="page">
              <wp14:pctWidth>0</wp14:pctWidth>
            </wp14:sizeRelH>
            <wp14:sizeRelV relativeFrom="page">
              <wp14:pctHeight>0</wp14:pctHeight>
            </wp14:sizeRelV>
          </wp:anchor>
        </w:drawing>
      </w:r>
      <w:r w:rsidR="00976B9C" w:rsidRPr="00976B9C">
        <w:drawing>
          <wp:inline distT="0" distB="0" distL="0" distR="0" wp14:anchorId="54D91634" wp14:editId="05636CCF">
            <wp:extent cx="1590800" cy="1305839"/>
            <wp:effectExtent l="0" t="0" r="0" b="8890"/>
            <wp:docPr id="5" name="Picture 4" descr="A black and white logo&#10;&#10;AI-generated content may be incorrect.">
              <a:extLst xmlns:a="http://schemas.openxmlformats.org/drawingml/2006/main">
                <a:ext uri="{FF2B5EF4-FFF2-40B4-BE49-F238E27FC236}">
                  <a16:creationId xmlns:a16="http://schemas.microsoft.com/office/drawing/2014/main" id="{E54B8B99-2CB6-4332-49CE-C5664833AA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white logo&#10;&#10;AI-generated content may be incorrect.">
                      <a:extLst>
                        <a:ext uri="{FF2B5EF4-FFF2-40B4-BE49-F238E27FC236}">
                          <a16:creationId xmlns:a16="http://schemas.microsoft.com/office/drawing/2014/main" id="{E54B8B99-2CB6-4332-49CE-C5664833AA8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800" cy="1305839"/>
                    </a:xfrm>
                    <a:prstGeom prst="rect">
                      <a:avLst/>
                    </a:prstGeom>
                  </pic:spPr>
                </pic:pic>
              </a:graphicData>
            </a:graphic>
          </wp:inline>
        </w:drawing>
      </w:r>
    </w:p>
    <w:p w14:paraId="5137172B" w14:textId="703C069C" w:rsidR="00771D04" w:rsidRDefault="00771D04" w:rsidP="00771D04">
      <w:pPr>
        <w:jc w:val="right"/>
      </w:pPr>
    </w:p>
    <w:p w14:paraId="1C4EC736" w14:textId="77777777" w:rsidR="00771D04" w:rsidRDefault="00771D04" w:rsidP="00771D04">
      <w:pPr>
        <w:jc w:val="right"/>
      </w:pPr>
    </w:p>
    <w:p w14:paraId="62DBD005" w14:textId="53561CBA" w:rsidR="00771D04" w:rsidRDefault="00771D04" w:rsidP="00771D04">
      <w:pPr>
        <w:jc w:val="right"/>
      </w:pPr>
    </w:p>
    <w:p w14:paraId="765BFDC6" w14:textId="77777777" w:rsidR="00976B9C" w:rsidRDefault="00976B9C" w:rsidP="00771D04">
      <w:pPr>
        <w:jc w:val="right"/>
      </w:pPr>
    </w:p>
    <w:p w14:paraId="0CD2EE1C" w14:textId="77777777" w:rsidR="00771D04" w:rsidRDefault="00771D04" w:rsidP="00771D04">
      <w:pPr>
        <w:jc w:val="right"/>
      </w:pPr>
    </w:p>
    <w:p w14:paraId="6798AD5F" w14:textId="77777777" w:rsidR="00771D04" w:rsidRDefault="00771D04" w:rsidP="00976B9C"/>
    <w:p w14:paraId="1077A426" w14:textId="1F04D89D" w:rsidR="00771D04" w:rsidRPr="00FB7673" w:rsidRDefault="00FB7673" w:rsidP="00FB7673">
      <w:pPr>
        <w:pStyle w:val="Title"/>
        <w:ind w:left="2127"/>
        <w:jc w:val="right"/>
        <w:rPr>
          <w:color w:val="FFFFFF" w:themeColor="background1"/>
          <w:sz w:val="96"/>
          <w:szCs w:val="96"/>
        </w:rPr>
      </w:pPr>
      <w:r w:rsidRPr="003225C2">
        <w:rPr>
          <w:color w:val="FFFFFF" w:themeColor="background1"/>
          <w:sz w:val="96"/>
          <w:szCs w:val="96"/>
        </w:rPr>
        <w:t xml:space="preserve">Stoke-on-Trent City Council </w:t>
      </w:r>
    </w:p>
    <w:p w14:paraId="20AD7DBB" w14:textId="6A6EA2AD" w:rsidR="00771D04" w:rsidRPr="005D626B" w:rsidRDefault="00771D04" w:rsidP="00771D04">
      <w:pPr>
        <w:ind w:left="2127" w:firstLine="141"/>
        <w:jc w:val="right"/>
        <w:rPr>
          <w:rFonts w:ascii="Aptos Light" w:hAnsi="Aptos Light"/>
          <w:color w:val="FFFFFF" w:themeColor="background1"/>
          <w:sz w:val="56"/>
          <w:szCs w:val="56"/>
        </w:rPr>
      </w:pPr>
      <w:r w:rsidRPr="005D626B">
        <w:rPr>
          <w:rFonts w:ascii="Aptos Light" w:hAnsi="Aptos Light"/>
          <w:color w:val="FFFFFF" w:themeColor="background1"/>
          <w:sz w:val="56"/>
          <w:szCs w:val="56"/>
        </w:rPr>
        <w:t>Person Centred Targeted Funding for children with an Education, Health and Care (EHC) Plan</w:t>
      </w:r>
    </w:p>
    <w:p w14:paraId="0DE2DF55" w14:textId="77777777" w:rsidR="005D626B" w:rsidRDefault="005D626B" w:rsidP="005D626B">
      <w:pPr>
        <w:rPr>
          <w:rFonts w:ascii="Aptos Light" w:hAnsi="Aptos Light"/>
          <w:color w:val="FFFFFF" w:themeColor="background1"/>
          <w:sz w:val="72"/>
          <w:szCs w:val="72"/>
        </w:rPr>
      </w:pPr>
    </w:p>
    <w:p w14:paraId="2B5F3724" w14:textId="77777777" w:rsidR="005D626B" w:rsidRDefault="005D626B" w:rsidP="00771D04">
      <w:pPr>
        <w:ind w:left="2127" w:firstLine="141"/>
        <w:jc w:val="right"/>
        <w:rPr>
          <w:rFonts w:ascii="Aptos Light" w:hAnsi="Aptos Light"/>
          <w:color w:val="FFFFFF" w:themeColor="background1"/>
          <w:sz w:val="72"/>
          <w:szCs w:val="72"/>
        </w:rPr>
      </w:pPr>
    </w:p>
    <w:p w14:paraId="31EFBA21" w14:textId="77777777" w:rsidR="00976B9C" w:rsidRDefault="00976B9C" w:rsidP="00771D04">
      <w:pPr>
        <w:ind w:left="2127" w:firstLine="141"/>
        <w:jc w:val="right"/>
        <w:rPr>
          <w:rFonts w:ascii="Aptos Light" w:hAnsi="Aptos Light"/>
          <w:color w:val="FFFFFF" w:themeColor="background1"/>
          <w:sz w:val="72"/>
          <w:szCs w:val="72"/>
        </w:rPr>
      </w:pPr>
    </w:p>
    <w:p w14:paraId="00745EF8" w14:textId="5FB12ED9" w:rsidR="005D626B" w:rsidRPr="00FB7673" w:rsidRDefault="005D626B" w:rsidP="00771D04">
      <w:pPr>
        <w:ind w:left="2127" w:firstLine="141"/>
        <w:jc w:val="right"/>
        <w:rPr>
          <w:rFonts w:ascii="Aptos Light" w:hAnsi="Aptos Light"/>
          <w:color w:val="FFFFFF" w:themeColor="background1"/>
          <w:sz w:val="72"/>
          <w:szCs w:val="72"/>
        </w:rPr>
      </w:pPr>
      <w:r w:rsidRPr="005D626B">
        <w:drawing>
          <wp:inline distT="0" distB="0" distL="0" distR="0" wp14:anchorId="47F1BF4F" wp14:editId="7E13204E">
            <wp:extent cx="1804152" cy="917861"/>
            <wp:effectExtent l="0" t="0" r="0" b="0"/>
            <wp:docPr id="6" name="Picture 5" descr="A black background with colorful letters&#10;&#10;AI-generated content may be incorrect.">
              <a:extLst xmlns:a="http://schemas.openxmlformats.org/drawingml/2006/main">
                <a:ext uri="{FF2B5EF4-FFF2-40B4-BE49-F238E27FC236}">
                  <a16:creationId xmlns:a16="http://schemas.microsoft.com/office/drawing/2014/main" id="{E3396E7F-535E-9365-C562-6DA34BEDCB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colorful letters&#10;&#10;AI-generated content may be incorrect.">
                      <a:extLst>
                        <a:ext uri="{FF2B5EF4-FFF2-40B4-BE49-F238E27FC236}">
                          <a16:creationId xmlns:a16="http://schemas.microsoft.com/office/drawing/2014/main" id="{E3396E7F-535E-9365-C562-6DA34BEDCB24}"/>
                        </a:ext>
                      </a:extLst>
                    </pic:cNvPr>
                    <pic:cNvPicPr>
                      <a:picLocks noChangeAspect="1"/>
                    </pic:cNvPicPr>
                  </pic:nvPicPr>
                  <pic:blipFill>
                    <a:blip r:embed="rId8" cstate="print">
                      <a:extLst>
                        <a:ext uri="{BEBA8EAE-BF5A-486C-A8C5-ECC9F3942E4B}">
                          <a14:imgProps xmlns:a14="http://schemas.microsoft.com/office/drawing/2010/main">
                            <a14:imgLayer r:embed="rId9">
                              <a14:imgEffect>
                                <a14:brightnessContrast bright="100000"/>
                              </a14:imgEffect>
                            </a14:imgLayer>
                          </a14:imgProps>
                        </a:ext>
                        <a:ext uri="{28A0092B-C50C-407E-A947-70E740481C1C}">
                          <a14:useLocalDpi xmlns:a14="http://schemas.microsoft.com/office/drawing/2010/main" val="0"/>
                        </a:ext>
                      </a:extLst>
                    </a:blip>
                    <a:srcRect r="37053" b="14430"/>
                    <a:stretch>
                      <a:fillRect/>
                    </a:stretch>
                  </pic:blipFill>
                  <pic:spPr>
                    <a:xfrm>
                      <a:off x="0" y="0"/>
                      <a:ext cx="1809429" cy="920546"/>
                    </a:xfrm>
                    <a:prstGeom prst="rect">
                      <a:avLst/>
                    </a:prstGeom>
                  </pic:spPr>
                </pic:pic>
              </a:graphicData>
            </a:graphic>
          </wp:inline>
        </w:drawing>
      </w:r>
    </w:p>
    <w:p w14:paraId="251629FE" w14:textId="77A3C0A9" w:rsidR="00771D04" w:rsidRPr="00771D04" w:rsidRDefault="00771D04" w:rsidP="00771D04">
      <w:pPr>
        <w:pStyle w:val="Heading1"/>
        <w:rPr>
          <w:b/>
          <w:bCs/>
        </w:rPr>
      </w:pPr>
      <w:r w:rsidRPr="00771D04">
        <w:rPr>
          <w:b/>
          <w:bCs/>
        </w:rPr>
        <w:lastRenderedPageBreak/>
        <w:t>Introduction</w:t>
      </w:r>
    </w:p>
    <w:p w14:paraId="4E3A5644" w14:textId="77777777" w:rsidR="009B4E70" w:rsidRDefault="00C50BE2" w:rsidP="00C50BE2">
      <w:r>
        <w:t xml:space="preserve">In </w:t>
      </w:r>
      <w:r w:rsidR="1B04374D">
        <w:t>most</w:t>
      </w:r>
      <w:r>
        <w:t xml:space="preserve"> cases</w:t>
      </w:r>
      <w:r w:rsidR="6EBF2AE9">
        <w:t>,</w:t>
      </w:r>
      <w:r>
        <w:t xml:space="preserve"> the funding allocated to deliver an EHC plan</w:t>
      </w:r>
      <w:r w:rsidR="008823C7">
        <w:t>, through the Stoke-on-Trent High Needs Banding Matrix,</w:t>
      </w:r>
      <w:r>
        <w:t xml:space="preserve"> will be sufficient to deliver the provision outlined in section F</w:t>
      </w:r>
      <w:r w:rsidR="009B4E70">
        <w:t xml:space="preserve"> of a child or young person’s education, health and care (EHC) plan</w:t>
      </w:r>
      <w:r>
        <w:t>.</w:t>
      </w:r>
    </w:p>
    <w:p w14:paraId="33933CB1" w14:textId="2F0C476B" w:rsidR="00C50BE2" w:rsidRDefault="008823C7" w:rsidP="00C50BE2">
      <w:r>
        <w:t>H</w:t>
      </w:r>
      <w:r w:rsidR="00C50BE2">
        <w:t>owever, in certain circumstances there will be a need to allocate additional</w:t>
      </w:r>
      <w:r>
        <w:t xml:space="preserve"> targeted</w:t>
      </w:r>
      <w:r w:rsidR="00C50BE2">
        <w:t xml:space="preserve"> funding to ensure that the provision can be secured and to maintain a successful placement in the child’s current school or setting.</w:t>
      </w:r>
    </w:p>
    <w:p w14:paraId="2D589F93" w14:textId="42D74D22" w:rsidR="008823C7" w:rsidRPr="008823C7" w:rsidRDefault="008823C7" w:rsidP="008823C7">
      <w:pPr>
        <w:pStyle w:val="Heading1"/>
        <w:rPr>
          <w:b/>
          <w:bCs/>
        </w:rPr>
      </w:pPr>
      <w:r w:rsidRPr="008823C7">
        <w:rPr>
          <w:b/>
          <w:bCs/>
        </w:rPr>
        <w:t>Purpose</w:t>
      </w:r>
    </w:p>
    <w:p w14:paraId="700694AA" w14:textId="10DD4269" w:rsidR="00C50BE2" w:rsidRDefault="00C50BE2" w:rsidP="00C50BE2">
      <w:r>
        <w:t xml:space="preserve">This document outlines the </w:t>
      </w:r>
      <w:r w:rsidR="00AC2EDB">
        <w:t xml:space="preserve">situations and </w:t>
      </w:r>
      <w:r>
        <w:t xml:space="preserve">process for Stoke-on-Trent schools to request </w:t>
      </w:r>
      <w:r w:rsidR="00AC2EDB">
        <w:t>Person Centred Targeted</w:t>
      </w:r>
      <w:r>
        <w:t xml:space="preserve"> Funding (PCTF) for pupils with Education, Health and Care (EHC) plans. This funding is in addition to the standard banded top-up funding already received. </w:t>
      </w:r>
      <w:r w:rsidR="00CA789E" w:rsidRPr="00CA789E">
        <w:t xml:space="preserve">This </w:t>
      </w:r>
      <w:r w:rsidR="00CA789E">
        <w:t xml:space="preserve">will </w:t>
      </w:r>
      <w:r w:rsidR="00CA789E" w:rsidRPr="00CA789E">
        <w:t>ensure that resources are targeted effectively and transparently to support the most complex and high-need learners</w:t>
      </w:r>
      <w:r w:rsidR="00624FEA">
        <w:t>.</w:t>
      </w:r>
    </w:p>
    <w:p w14:paraId="7418D319" w14:textId="77777777" w:rsidR="00C50BE2" w:rsidRPr="008823C7" w:rsidRDefault="00C50BE2" w:rsidP="00C50BE2">
      <w:pPr>
        <w:pStyle w:val="Heading1"/>
        <w:rPr>
          <w:b/>
          <w:bCs/>
        </w:rPr>
      </w:pPr>
      <w:r w:rsidRPr="008823C7">
        <w:rPr>
          <w:b/>
          <w:bCs/>
        </w:rPr>
        <w:t>Guiding Principles:</w:t>
      </w:r>
    </w:p>
    <w:p w14:paraId="7866761A" w14:textId="1AE8A0EC" w:rsidR="00C50BE2" w:rsidRDefault="00C50BE2" w:rsidP="00C50BE2">
      <w:pPr>
        <w:pStyle w:val="ListParagraph"/>
        <w:numPr>
          <w:ilvl w:val="0"/>
          <w:numId w:val="1"/>
        </w:numPr>
      </w:pPr>
      <w:r>
        <w:t xml:space="preserve">Inclusion: Stoke-on-Trent City Council is committed to inclusive education and operates a mainstream first presumption. PCTF </w:t>
      </w:r>
      <w:r w:rsidR="008823C7">
        <w:t xml:space="preserve">will be used to </w:t>
      </w:r>
      <w:r>
        <w:t>support schools in meeting the needs of pupils with EHC plans within mainstream settings wherever possible. Funding is also available to special schools where their core place funding plus element 3 funding is not sufficient to deliver</w:t>
      </w:r>
      <w:r w:rsidR="00BF52BF">
        <w:t>,</w:t>
      </w:r>
      <w:r>
        <w:t xml:space="preserve"> in specific exceptional circumstances</w:t>
      </w:r>
      <w:r w:rsidR="00BF52BF">
        <w:t>,</w:t>
      </w:r>
      <w:r w:rsidR="008823C7">
        <w:t xml:space="preserve"> to help to maintain the existing placement or to support a targeted transition back into a mainstream provision</w:t>
      </w:r>
      <w:r>
        <w:t>.</w:t>
      </w:r>
    </w:p>
    <w:p w14:paraId="2FB56AA3" w14:textId="7CF6CB93" w:rsidR="005241C4" w:rsidRDefault="005241C4" w:rsidP="00C50BE2">
      <w:pPr>
        <w:pStyle w:val="ListParagraph"/>
        <w:numPr>
          <w:ilvl w:val="0"/>
          <w:numId w:val="1"/>
        </w:numPr>
      </w:pPr>
      <w:r>
        <w:t>Consistency</w:t>
      </w:r>
      <w:r w:rsidR="00BF52BF">
        <w:t xml:space="preserve">: </w:t>
      </w:r>
      <w:r w:rsidR="009B4E70">
        <w:t>The</w:t>
      </w:r>
      <w:r w:rsidR="00BF52BF">
        <w:t xml:space="preserve"> protocol aims to bring about greater consistency in how requests for additional funding are </w:t>
      </w:r>
      <w:r w:rsidR="000459BE">
        <w:t>made, reviewed and decided.</w:t>
      </w:r>
    </w:p>
    <w:p w14:paraId="5E9FB039" w14:textId="5C57E2FC" w:rsidR="00C50BE2" w:rsidRDefault="00C50BE2" w:rsidP="00C50BE2">
      <w:pPr>
        <w:pStyle w:val="ListParagraph"/>
        <w:numPr>
          <w:ilvl w:val="0"/>
          <w:numId w:val="1"/>
        </w:numPr>
      </w:pPr>
      <w:r>
        <w:t>Transparency: The application and decision-making process for PCTF will be transparent and equitable.</w:t>
      </w:r>
    </w:p>
    <w:p w14:paraId="6D133FF6" w14:textId="5891297E" w:rsidR="00C50BE2" w:rsidRDefault="00C50BE2" w:rsidP="00C50BE2">
      <w:pPr>
        <w:pStyle w:val="ListParagraph"/>
        <w:numPr>
          <w:ilvl w:val="0"/>
          <w:numId w:val="1"/>
        </w:numPr>
      </w:pPr>
      <w:r>
        <w:t>Accountability: Schools are accountable for the effective use of PCTF and must demonstrate the impact of the funding on pupil outcomes.</w:t>
      </w:r>
    </w:p>
    <w:p w14:paraId="73A21369" w14:textId="77777777" w:rsidR="00C50BE2" w:rsidRDefault="00C50BE2" w:rsidP="00C50BE2">
      <w:pPr>
        <w:pStyle w:val="ListParagraph"/>
        <w:numPr>
          <w:ilvl w:val="0"/>
          <w:numId w:val="1"/>
        </w:numPr>
      </w:pPr>
      <w:r>
        <w:t>Collaboration: Collaboration between schools, parents/carers, and the Local Authority is essential for successful applications and implementation of support.</w:t>
      </w:r>
    </w:p>
    <w:p w14:paraId="43389C09" w14:textId="21569275" w:rsidR="00C50BE2" w:rsidRPr="008823C7" w:rsidRDefault="00C50BE2" w:rsidP="00C50BE2">
      <w:pPr>
        <w:pStyle w:val="Heading1"/>
        <w:rPr>
          <w:b/>
          <w:bCs/>
        </w:rPr>
      </w:pPr>
      <w:r w:rsidRPr="008823C7">
        <w:rPr>
          <w:b/>
          <w:bCs/>
        </w:rPr>
        <w:t>Eligibility:</w:t>
      </w:r>
    </w:p>
    <w:p w14:paraId="6090BE82" w14:textId="05BA4B77" w:rsidR="005241C4" w:rsidRDefault="005241C4" w:rsidP="005241C4">
      <w:r>
        <w:t>PCTF is expected to be used in exceptional circumstances only. For the majority of children with an EHCP the banded top-up funding, in combination with the school’s notional SEND funding, will be sufficient to deliver the special educational provision identified in the EHC plan.</w:t>
      </w:r>
      <w:r w:rsidR="00F34FEE">
        <w:t xml:space="preserve"> </w:t>
      </w:r>
      <w:r w:rsidR="00F34FEE" w:rsidRPr="00F34FEE">
        <w:t>The funding should be linked to enabling access to education, improving engagement, and supporting progress against EHCP outcomes.</w:t>
      </w:r>
    </w:p>
    <w:p w14:paraId="3544BA9C" w14:textId="72D801B1" w:rsidR="005241C4" w:rsidRDefault="005241C4" w:rsidP="005241C4">
      <w:r>
        <w:t xml:space="preserve">PCTF is designed to support specific projects or interventions with a defined start and end date. It is not intended for ongoing, long-term support – this should be reflected in the core funding available to the school through their place and pupil led funding. As a result, funding will not be agreed on an ongoing basis and will always be restricted to an academic year. If funding is required beyond the </w:t>
      </w:r>
      <w:r>
        <w:lastRenderedPageBreak/>
        <w:t>academic year, then the school will need to reapply and demonstrate the impact of the funding already received and the additional outcomes anticipated from a continuation of this funding.</w:t>
      </w:r>
    </w:p>
    <w:p w14:paraId="1C2917CE" w14:textId="13D3893E" w:rsidR="00C50BE2" w:rsidRDefault="00C50BE2" w:rsidP="00C50BE2">
      <w:r>
        <w:t>PCTF is available for pupils with EHC plans, in mainstream, resourced</w:t>
      </w:r>
      <w:r w:rsidR="00B437BC">
        <w:t xml:space="preserve"> provisions</w:t>
      </w:r>
      <w:r>
        <w:t xml:space="preserve"> and special school provisions where:</w:t>
      </w:r>
    </w:p>
    <w:p w14:paraId="41CD584C" w14:textId="5C91944A" w:rsidR="00C50BE2" w:rsidRDefault="00C50BE2" w:rsidP="00C50BE2">
      <w:pPr>
        <w:pStyle w:val="ListParagraph"/>
        <w:numPr>
          <w:ilvl w:val="0"/>
          <w:numId w:val="2"/>
        </w:numPr>
      </w:pPr>
      <w:r>
        <w:t xml:space="preserve">The cost of provision </w:t>
      </w:r>
      <w:r w:rsidR="00AE10E3">
        <w:t xml:space="preserve">outlined in section F of the EHC plan </w:t>
      </w:r>
      <w:r>
        <w:t xml:space="preserve">significantly exceeds the resources available through the standard banded top-up funding (and </w:t>
      </w:r>
      <w:r w:rsidR="006570B5">
        <w:t>place</w:t>
      </w:r>
      <w:r>
        <w:t xml:space="preserve"> funding</w:t>
      </w:r>
      <w:r w:rsidR="006570B5">
        <w:t xml:space="preserve"> where the child is in a specialist provision</w:t>
      </w:r>
      <w:r>
        <w:t>).</w:t>
      </w:r>
    </w:p>
    <w:p w14:paraId="163E6224" w14:textId="77777777" w:rsidR="006F0306" w:rsidRDefault="00C50BE2" w:rsidP="006F0306">
      <w:pPr>
        <w:pStyle w:val="ListParagraph"/>
        <w:numPr>
          <w:ilvl w:val="0"/>
          <w:numId w:val="2"/>
        </w:numPr>
      </w:pPr>
      <w:r>
        <w:t>The need is demonstrably high and impacting significantly on the pupil's learning, development and progress.</w:t>
      </w:r>
      <w:r w:rsidR="006F0306">
        <w:t xml:space="preserve"> </w:t>
      </w:r>
      <w:r w:rsidR="006F0306">
        <w:t>The level of support required should be significantly above what is typically expected, such as 1:1 adult support for extended periods, specialist equipment, or bespoke therapeutic interventions.</w:t>
      </w:r>
    </w:p>
    <w:p w14:paraId="7D3EC780" w14:textId="7247C7AE" w:rsidR="00C50BE2" w:rsidRDefault="006F0306" w:rsidP="006F0306">
      <w:pPr>
        <w:pStyle w:val="ListParagraph"/>
        <w:numPr>
          <w:ilvl w:val="0"/>
          <w:numId w:val="2"/>
        </w:numPr>
      </w:pPr>
      <w:r>
        <w:t>Consideration should be given to the frequency, duration, and type of provision.</w:t>
      </w:r>
    </w:p>
    <w:p w14:paraId="7786F79A" w14:textId="323F97CB" w:rsidR="00C50BE2" w:rsidRDefault="00C50BE2" w:rsidP="00C50BE2">
      <w:pPr>
        <w:pStyle w:val="ListParagraph"/>
        <w:numPr>
          <w:ilvl w:val="0"/>
          <w:numId w:val="2"/>
        </w:numPr>
      </w:pPr>
      <w:r>
        <w:t>The intervention is time-limited, with clear objectives and measurable outcomes, and is linked to the assessed special educational provision outlined in the EHC plan.</w:t>
      </w:r>
    </w:p>
    <w:p w14:paraId="17A9741A" w14:textId="5F42FA04" w:rsidR="00C50BE2" w:rsidRDefault="00C50BE2" w:rsidP="00C50BE2">
      <w:pPr>
        <w:pStyle w:val="ListParagraph"/>
        <w:numPr>
          <w:ilvl w:val="0"/>
          <w:numId w:val="2"/>
        </w:numPr>
      </w:pPr>
      <w:r>
        <w:t>The school can demonstrate that the funding already available has been used (or allocated) to support the delivery of the EHC plan.</w:t>
      </w:r>
    </w:p>
    <w:p w14:paraId="7F4B5707" w14:textId="6E503FB8" w:rsidR="00C50BE2" w:rsidRDefault="00C50BE2" w:rsidP="00C50BE2">
      <w:pPr>
        <w:pStyle w:val="ListParagraph"/>
        <w:numPr>
          <w:ilvl w:val="0"/>
          <w:numId w:val="2"/>
        </w:numPr>
      </w:pPr>
      <w:r>
        <w:t>The school has explored all other available resources and funding streams.</w:t>
      </w:r>
    </w:p>
    <w:p w14:paraId="11F422FC" w14:textId="33E55410" w:rsidR="00A21AB9" w:rsidRDefault="006F6B45" w:rsidP="001D5F7D">
      <w:pPr>
        <w:pStyle w:val="ListParagraph"/>
        <w:numPr>
          <w:ilvl w:val="0"/>
          <w:numId w:val="2"/>
        </w:numPr>
      </w:pPr>
      <w:r w:rsidRPr="006F6B45">
        <w:t>The allocation will be based on actual costs incurred for the additional provision</w:t>
      </w:r>
    </w:p>
    <w:p w14:paraId="1B79CC8A" w14:textId="62E44357" w:rsidR="00A67949" w:rsidRDefault="00037343" w:rsidP="00A67949">
      <w:r>
        <w:t>Additional f</w:t>
      </w:r>
      <w:r w:rsidR="00A67949">
        <w:t xml:space="preserve">unding will </w:t>
      </w:r>
      <w:r w:rsidR="00A67949" w:rsidRPr="00D6307C">
        <w:rPr>
          <w:b/>
          <w:bCs/>
        </w:rPr>
        <w:t>not</w:t>
      </w:r>
      <w:r w:rsidR="00A67949">
        <w:t xml:space="preserve"> be agreed where:</w:t>
      </w:r>
    </w:p>
    <w:p w14:paraId="44C61FE1" w14:textId="5A75DF07" w:rsidR="007D02DB" w:rsidRDefault="007D02DB" w:rsidP="007D02DB">
      <w:pPr>
        <w:pStyle w:val="ListParagraph"/>
        <w:numPr>
          <w:ilvl w:val="0"/>
          <w:numId w:val="6"/>
        </w:numPr>
      </w:pPr>
      <w:r>
        <w:t>An annual (or emergency) review has not been held.</w:t>
      </w:r>
    </w:p>
    <w:p w14:paraId="78663D32" w14:textId="1C37F4EE" w:rsidR="00A21AB9" w:rsidRDefault="00A21AB9" w:rsidP="007D02DB">
      <w:pPr>
        <w:pStyle w:val="ListParagraph"/>
        <w:numPr>
          <w:ilvl w:val="0"/>
          <w:numId w:val="6"/>
        </w:numPr>
      </w:pPr>
      <w:r>
        <w:t xml:space="preserve">The funding is for provision not </w:t>
      </w:r>
      <w:r w:rsidR="001D5F7D">
        <w:t>explicitly</w:t>
      </w:r>
      <w:r>
        <w:t xml:space="preserve"> listed in section F of the EHC plan. </w:t>
      </w:r>
    </w:p>
    <w:p w14:paraId="7A7E8364" w14:textId="736EF11F" w:rsidR="00FA6BA3" w:rsidRDefault="00FA6BA3" w:rsidP="00B87F8F">
      <w:pPr>
        <w:pStyle w:val="ListParagraph"/>
        <w:numPr>
          <w:ilvl w:val="0"/>
          <w:numId w:val="6"/>
        </w:numPr>
      </w:pPr>
      <w:r>
        <w:t>It is to provide interventions or provision that should be ordinarily available to all children.</w:t>
      </w:r>
    </w:p>
    <w:p w14:paraId="1EA4C484" w14:textId="585AD324" w:rsidR="005165F9" w:rsidRDefault="005165F9" w:rsidP="00B87F8F">
      <w:pPr>
        <w:pStyle w:val="ListParagraph"/>
        <w:numPr>
          <w:ilvl w:val="0"/>
          <w:numId w:val="6"/>
        </w:numPr>
      </w:pPr>
      <w:r>
        <w:t xml:space="preserve">The child is not accessing a </w:t>
      </w:r>
      <w:r w:rsidR="006119B4">
        <w:t>full-time</w:t>
      </w:r>
      <w:r>
        <w:t xml:space="preserve"> </w:t>
      </w:r>
      <w:r w:rsidR="006119B4">
        <w:t>education,</w:t>
      </w:r>
      <w:r>
        <w:t xml:space="preserve"> or </w:t>
      </w:r>
      <w:r w:rsidR="006119B4">
        <w:t xml:space="preserve">the funding would </w:t>
      </w:r>
      <w:r>
        <w:t xml:space="preserve">not support a </w:t>
      </w:r>
      <w:r w:rsidR="00A35682">
        <w:t>re-</w:t>
      </w:r>
      <w:r>
        <w:t>in</w:t>
      </w:r>
      <w:r w:rsidR="00D27A0E">
        <w:t>tegration plan that has time limited targets to increase attendance to full time.</w:t>
      </w:r>
    </w:p>
    <w:p w14:paraId="17C9DE7B" w14:textId="0B1D34C8" w:rsidR="00A67949" w:rsidRDefault="00B87F8F" w:rsidP="00B87F8F">
      <w:pPr>
        <w:pStyle w:val="ListParagraph"/>
        <w:numPr>
          <w:ilvl w:val="0"/>
          <w:numId w:val="6"/>
        </w:numPr>
      </w:pPr>
      <w:r>
        <w:t xml:space="preserve">The child has not yet started in the provision and there is no evidence that attempts have been made to deliver the provision in the EHC plan using the funding available. </w:t>
      </w:r>
    </w:p>
    <w:p w14:paraId="5F7F144B" w14:textId="1FC3F80C" w:rsidR="008929F7" w:rsidRDefault="008929F7" w:rsidP="00B87F8F">
      <w:pPr>
        <w:pStyle w:val="ListParagraph"/>
        <w:numPr>
          <w:ilvl w:val="0"/>
          <w:numId w:val="6"/>
        </w:numPr>
      </w:pPr>
      <w:r>
        <w:t xml:space="preserve">Funding </w:t>
      </w:r>
      <w:r w:rsidR="006119B4">
        <w:t>has</w:t>
      </w:r>
      <w:r>
        <w:t xml:space="preserve"> already been in place for </w:t>
      </w:r>
      <w:r w:rsidR="00037343">
        <w:t xml:space="preserve">a period of </w:t>
      </w:r>
      <w:r>
        <w:t>12 months and there has been no demonstrable and</w:t>
      </w:r>
      <w:r w:rsidR="00037343">
        <w:t>/or</w:t>
      </w:r>
      <w:r>
        <w:t xml:space="preserve"> measurable impact of the funding on the child or young person’s outcomes.</w:t>
      </w:r>
    </w:p>
    <w:p w14:paraId="00B81037" w14:textId="701A5FDB" w:rsidR="00BF6FE5" w:rsidRDefault="00BF6FE5" w:rsidP="00B87F8F">
      <w:pPr>
        <w:pStyle w:val="ListParagraph"/>
        <w:numPr>
          <w:ilvl w:val="0"/>
          <w:numId w:val="6"/>
        </w:numPr>
      </w:pPr>
      <w:r>
        <w:t>It is intended to support unregulated alternative provision or alternative provision not available through the council’s approved list of alternative provisions</w:t>
      </w:r>
    </w:p>
    <w:p w14:paraId="1B333623" w14:textId="1F6C2D32" w:rsidR="006119B4" w:rsidRDefault="006119B4" w:rsidP="00B87F8F">
      <w:pPr>
        <w:pStyle w:val="ListParagraph"/>
        <w:numPr>
          <w:ilvl w:val="0"/>
          <w:numId w:val="6"/>
        </w:numPr>
      </w:pPr>
      <w:r>
        <w:t xml:space="preserve">It will be used to enable the ongoing segregation of the child from their peer group </w:t>
      </w:r>
      <w:r w:rsidR="00D51D05">
        <w:t xml:space="preserve">e.g. </w:t>
      </w:r>
      <w:r>
        <w:t>full time 1:1 education outside of the classroom</w:t>
      </w:r>
      <w:r w:rsidR="00D51D05">
        <w:t>.</w:t>
      </w:r>
    </w:p>
    <w:p w14:paraId="08569CCF" w14:textId="77777777" w:rsidR="00C50BE2" w:rsidRPr="008823C7" w:rsidRDefault="00C50BE2" w:rsidP="00C50BE2">
      <w:pPr>
        <w:pStyle w:val="Heading1"/>
        <w:rPr>
          <w:b/>
          <w:bCs/>
        </w:rPr>
      </w:pPr>
      <w:r w:rsidRPr="008823C7">
        <w:rPr>
          <w:b/>
          <w:bCs/>
        </w:rPr>
        <w:t>Application Process:</w:t>
      </w:r>
    </w:p>
    <w:p w14:paraId="69C927DF" w14:textId="733C881D" w:rsidR="00C50BE2" w:rsidRDefault="00C50BE2" w:rsidP="00C50BE2">
      <w:r>
        <w:t xml:space="preserve">Schools must submit a comprehensive </w:t>
      </w:r>
      <w:r w:rsidR="0066117D">
        <w:t>request</w:t>
      </w:r>
      <w:r>
        <w:t xml:space="preserve"> to the Local Authority, including the following:</w:t>
      </w:r>
    </w:p>
    <w:p w14:paraId="31B16990" w14:textId="26BC3694" w:rsidR="00304CA0" w:rsidRDefault="00304CA0" w:rsidP="00304CA0">
      <w:pPr>
        <w:pStyle w:val="ListParagraph"/>
        <w:numPr>
          <w:ilvl w:val="0"/>
          <w:numId w:val="3"/>
        </w:numPr>
      </w:pPr>
      <w:r>
        <w:t xml:space="preserve">Fully Costed Provision Map: A fully costed provision map demonstrating how the PCTF will be utilised. This </w:t>
      </w:r>
      <w:r w:rsidR="00A356CE">
        <w:t xml:space="preserve">provision </w:t>
      </w:r>
      <w:r>
        <w:t xml:space="preserve">map must be detailed and clearly articulate the resources being requested and how they will be deployed. Generic statements will not be accepted. The provision map is crucial to the application and must be robust. This should include a clear </w:t>
      </w:r>
      <w:r>
        <w:lastRenderedPageBreak/>
        <w:t xml:space="preserve">demonstration of how existing resources and funding streams have been </w:t>
      </w:r>
      <w:r w:rsidR="00A356CE">
        <w:t xml:space="preserve">utilised </w:t>
      </w:r>
      <w:r w:rsidR="001367E7">
        <w:t>or allocated</w:t>
      </w:r>
      <w:r>
        <w:t xml:space="preserve"> and why they are insufficient to meet the pupil’s needs.</w:t>
      </w:r>
    </w:p>
    <w:p w14:paraId="7E2B8DD4" w14:textId="77777777" w:rsidR="00304CA0" w:rsidRDefault="00304CA0" w:rsidP="00304CA0">
      <w:pPr>
        <w:pStyle w:val="ListParagraph"/>
        <w:numPr>
          <w:ilvl w:val="1"/>
          <w:numId w:val="3"/>
        </w:numPr>
      </w:pPr>
      <w:r>
        <w:t>Specific objectives and measurable outcomes.</w:t>
      </w:r>
    </w:p>
    <w:p w14:paraId="67ECFA05" w14:textId="77777777" w:rsidR="00304CA0" w:rsidRDefault="00304CA0" w:rsidP="00304CA0">
      <w:pPr>
        <w:pStyle w:val="ListParagraph"/>
        <w:numPr>
          <w:ilvl w:val="1"/>
          <w:numId w:val="3"/>
        </w:numPr>
      </w:pPr>
      <w:r>
        <w:t>Details of the support to be provided (e.g., staffing, equipment, therapy).</w:t>
      </w:r>
    </w:p>
    <w:p w14:paraId="09408356" w14:textId="77777777" w:rsidR="00304CA0" w:rsidRDefault="00304CA0" w:rsidP="00304CA0">
      <w:pPr>
        <w:pStyle w:val="ListParagraph"/>
        <w:numPr>
          <w:ilvl w:val="1"/>
          <w:numId w:val="3"/>
        </w:numPr>
      </w:pPr>
      <w:r>
        <w:t>Start and end dates of the intervention.</w:t>
      </w:r>
    </w:p>
    <w:p w14:paraId="0AFB34D7" w14:textId="77777777" w:rsidR="00304CA0" w:rsidRDefault="00304CA0" w:rsidP="00304CA0">
      <w:pPr>
        <w:pStyle w:val="ListParagraph"/>
        <w:numPr>
          <w:ilvl w:val="1"/>
          <w:numId w:val="3"/>
        </w:numPr>
      </w:pPr>
      <w:r>
        <w:t>Cost breakdown, including justification for each item.</w:t>
      </w:r>
    </w:p>
    <w:p w14:paraId="2763E5C4" w14:textId="77777777" w:rsidR="00C50BE2" w:rsidRDefault="00C50BE2" w:rsidP="00C50BE2">
      <w:pPr>
        <w:pStyle w:val="ListParagraph"/>
        <w:numPr>
          <w:ilvl w:val="0"/>
          <w:numId w:val="3"/>
        </w:numPr>
      </w:pPr>
      <w:r>
        <w:t>Impact Evaluation Plan: A plan for evaluating the impact of the intervention on the pupil's progress and outcomes.</w:t>
      </w:r>
    </w:p>
    <w:p w14:paraId="318F9CCC" w14:textId="77777777" w:rsidR="00C50BE2" w:rsidRPr="008823C7" w:rsidRDefault="00C50BE2" w:rsidP="00C50BE2">
      <w:pPr>
        <w:pStyle w:val="Heading1"/>
        <w:rPr>
          <w:b/>
          <w:bCs/>
        </w:rPr>
      </w:pPr>
      <w:r w:rsidRPr="008823C7">
        <w:rPr>
          <w:b/>
          <w:bCs/>
        </w:rPr>
        <w:t>Assessment and Decision-Making:</w:t>
      </w:r>
    </w:p>
    <w:p w14:paraId="503F6E14" w14:textId="77777777" w:rsidR="00C50BE2" w:rsidRDefault="00C50BE2" w:rsidP="00C50BE2">
      <w:pPr>
        <w:pStyle w:val="ListParagraph"/>
        <w:numPr>
          <w:ilvl w:val="0"/>
          <w:numId w:val="4"/>
        </w:numPr>
      </w:pPr>
      <w:r>
        <w:t>Applications will be assessed by a multi-disciplinary panel, including representatives from education, social care, and health.</w:t>
      </w:r>
    </w:p>
    <w:p w14:paraId="5C8D6D83" w14:textId="77777777" w:rsidR="00C50BE2" w:rsidRDefault="00C50BE2" w:rsidP="00C50BE2">
      <w:pPr>
        <w:pStyle w:val="ListParagraph"/>
        <w:numPr>
          <w:ilvl w:val="0"/>
          <w:numId w:val="4"/>
        </w:numPr>
      </w:pPr>
      <w:r>
        <w:t>The panel will consider the information provided in the application, including the pupil's needs, the proposed intervention, and the cost-effectiveness of the provision.</w:t>
      </w:r>
    </w:p>
    <w:p w14:paraId="0326DFAE" w14:textId="0D5706B5" w:rsidR="00C50BE2" w:rsidRDefault="00C50BE2" w:rsidP="00C50BE2">
      <w:pPr>
        <w:pStyle w:val="ListParagraph"/>
        <w:numPr>
          <w:ilvl w:val="0"/>
          <w:numId w:val="4"/>
        </w:numPr>
      </w:pPr>
      <w:r>
        <w:t>Decisions will be made based on the eligibility criteria.</w:t>
      </w:r>
    </w:p>
    <w:p w14:paraId="1D18A6E3" w14:textId="6544D554" w:rsidR="00C50BE2" w:rsidRDefault="00C50BE2" w:rsidP="00C50BE2">
      <w:pPr>
        <w:pStyle w:val="ListParagraph"/>
        <w:numPr>
          <w:ilvl w:val="0"/>
          <w:numId w:val="4"/>
        </w:numPr>
      </w:pPr>
      <w:r>
        <w:t xml:space="preserve">Schools will be notified of the outcome of their application within </w:t>
      </w:r>
      <w:r w:rsidR="006628F6">
        <w:t>10 days of the request.</w:t>
      </w:r>
    </w:p>
    <w:p w14:paraId="7B42CB4E" w14:textId="4989A4BB" w:rsidR="009F7828" w:rsidRDefault="009F7828" w:rsidP="009F7828">
      <w:pPr>
        <w:pStyle w:val="ListParagraph"/>
        <w:numPr>
          <w:ilvl w:val="0"/>
          <w:numId w:val="4"/>
        </w:numPr>
      </w:pPr>
      <w:r w:rsidRPr="009F7828">
        <w:t>Evidence of creative use of resources and collaboration with external agencies may strengthen the case.</w:t>
      </w:r>
    </w:p>
    <w:p w14:paraId="55C71EF7" w14:textId="77777777" w:rsidR="00C50BE2" w:rsidRPr="008823C7" w:rsidRDefault="00C50BE2" w:rsidP="00C50BE2">
      <w:pPr>
        <w:pStyle w:val="Heading1"/>
        <w:rPr>
          <w:b/>
          <w:bCs/>
        </w:rPr>
      </w:pPr>
      <w:r w:rsidRPr="008823C7">
        <w:rPr>
          <w:b/>
          <w:bCs/>
        </w:rPr>
        <w:t>Funding Allocation and Monitoring:</w:t>
      </w:r>
    </w:p>
    <w:p w14:paraId="00A00C2A" w14:textId="2765F475" w:rsidR="00C50BE2" w:rsidRDefault="00C50BE2" w:rsidP="00C50BE2">
      <w:pPr>
        <w:pStyle w:val="ListParagraph"/>
        <w:numPr>
          <w:ilvl w:val="0"/>
          <w:numId w:val="5"/>
        </w:numPr>
      </w:pPr>
      <w:r>
        <w:t>If approved, funding will be allocated to the school for the specified intervention period.</w:t>
      </w:r>
      <w:r w:rsidR="006628F6">
        <w:t xml:space="preserve"> Funding will be paid alongside banded amounts through </w:t>
      </w:r>
      <w:r w:rsidR="00FB06F4">
        <w:t>the normal schedule of high needs payments</w:t>
      </w:r>
    </w:p>
    <w:p w14:paraId="1B14E5AD" w14:textId="676836C8" w:rsidR="00C50BE2" w:rsidRDefault="00C50BE2" w:rsidP="00C50BE2">
      <w:pPr>
        <w:pStyle w:val="ListParagraph"/>
        <w:numPr>
          <w:ilvl w:val="0"/>
          <w:numId w:val="5"/>
        </w:numPr>
      </w:pPr>
      <w:r>
        <w:t>Schools are responsible for monitoring the effectiveness of the intervention and reporting on progress towards agreed outcomes.</w:t>
      </w:r>
    </w:p>
    <w:p w14:paraId="7EE84507" w14:textId="7124A627" w:rsidR="00C50BE2" w:rsidRDefault="00C50BE2" w:rsidP="00C50BE2">
      <w:pPr>
        <w:pStyle w:val="ListParagraph"/>
        <w:numPr>
          <w:ilvl w:val="0"/>
          <w:numId w:val="5"/>
        </w:numPr>
      </w:pPr>
      <w:r>
        <w:t xml:space="preserve">The Local Authority </w:t>
      </w:r>
      <w:r w:rsidR="0025261D">
        <w:t>may</w:t>
      </w:r>
      <w:r>
        <w:t xml:space="preserve"> request progress reports and </w:t>
      </w:r>
      <w:r w:rsidR="00B2484D">
        <w:t xml:space="preserve">may </w:t>
      </w:r>
      <w:r>
        <w:t>conduct monitoring visits.</w:t>
      </w:r>
    </w:p>
    <w:p w14:paraId="744DB9D6" w14:textId="33A27691" w:rsidR="00B3151D" w:rsidRDefault="00B3151D" w:rsidP="00C50BE2">
      <w:pPr>
        <w:pStyle w:val="ListParagraph"/>
        <w:numPr>
          <w:ilvl w:val="0"/>
          <w:numId w:val="5"/>
        </w:numPr>
      </w:pPr>
      <w:r>
        <w:t xml:space="preserve">The </w:t>
      </w:r>
      <w:r w:rsidR="0025261D">
        <w:t>L</w:t>
      </w:r>
      <w:r>
        <w:t xml:space="preserve">ocal </w:t>
      </w:r>
      <w:r w:rsidR="0025261D">
        <w:t>A</w:t>
      </w:r>
      <w:r>
        <w:t xml:space="preserve">uthority reserves the right to </w:t>
      </w:r>
      <w:r w:rsidR="00D13190">
        <w:t xml:space="preserve">allocate </w:t>
      </w:r>
    </w:p>
    <w:p w14:paraId="2FAD1CB3" w14:textId="77777777" w:rsidR="00C50BE2" w:rsidRPr="008823C7" w:rsidRDefault="00C50BE2" w:rsidP="00C50BE2">
      <w:pPr>
        <w:pStyle w:val="Heading1"/>
        <w:rPr>
          <w:b/>
          <w:bCs/>
        </w:rPr>
      </w:pPr>
      <w:r w:rsidRPr="008823C7">
        <w:rPr>
          <w:b/>
          <w:bCs/>
        </w:rPr>
        <w:t>Review and Evaluation:</w:t>
      </w:r>
    </w:p>
    <w:p w14:paraId="2E1D916A" w14:textId="77777777" w:rsidR="00B02194" w:rsidRDefault="00C50BE2" w:rsidP="00B02194">
      <w:r>
        <w:t xml:space="preserve">The </w:t>
      </w:r>
      <w:r w:rsidR="00D51D05">
        <w:t>PCTF</w:t>
      </w:r>
      <w:r>
        <w:t xml:space="preserve"> framework will be reviewed and evaluated regularly to ensure its effectiveness and impact.</w:t>
      </w:r>
      <w:r w:rsidR="00B02194" w:rsidRPr="00B02194">
        <w:t xml:space="preserve"> </w:t>
      </w:r>
      <w:r w:rsidR="00B02194">
        <w:t xml:space="preserve">Important Note: This framework is subject to change. Schools will be notified of any updates. </w:t>
      </w:r>
    </w:p>
    <w:p w14:paraId="0C4FC9AB" w14:textId="23772D9C" w:rsidR="00B02194" w:rsidRDefault="00B02194" w:rsidP="00B02194">
      <w:r>
        <w:t>It is the responsibility of the school to ensure they are using the most up to date version of the framework.</w:t>
      </w:r>
    </w:p>
    <w:p w14:paraId="2EF03CE4" w14:textId="328699BE" w:rsidR="00B02194" w:rsidRPr="008823C7" w:rsidRDefault="00B02194" w:rsidP="00B02194">
      <w:pPr>
        <w:pStyle w:val="Heading1"/>
        <w:rPr>
          <w:b/>
          <w:bCs/>
        </w:rPr>
      </w:pPr>
      <w:r>
        <w:rPr>
          <w:b/>
          <w:bCs/>
        </w:rPr>
        <w:t>Contact:</w:t>
      </w:r>
    </w:p>
    <w:p w14:paraId="7861003D" w14:textId="6CA8B55C" w:rsidR="00C50BE2" w:rsidRDefault="00C50BE2" w:rsidP="00C50BE2">
      <w:r>
        <w:t>Contact Information:</w:t>
      </w:r>
      <w:r w:rsidR="00AE05D3">
        <w:t xml:space="preserve"> </w:t>
      </w:r>
      <w:hyperlink r:id="rId10" w:history="1">
        <w:r w:rsidR="00AE05D3" w:rsidRPr="00E549C0">
          <w:rPr>
            <w:rStyle w:val="Hyperlink"/>
            <w:b/>
            <w:bCs/>
          </w:rPr>
          <w:t>SENMAS@stoke.gov.uk</w:t>
        </w:r>
      </w:hyperlink>
      <w:r w:rsidR="00AE05D3">
        <w:rPr>
          <w:b/>
          <w:bCs/>
        </w:rPr>
        <w:t xml:space="preserve"> </w:t>
      </w:r>
    </w:p>
    <w:p w14:paraId="5981F9BE" w14:textId="0BE4F64B" w:rsidR="00C50BE2" w:rsidRDefault="00C50BE2" w:rsidP="00AE05D3">
      <w:r>
        <w:t xml:space="preserve">For further information </w:t>
      </w:r>
      <w:r w:rsidR="00AE05D3">
        <w:t xml:space="preserve">and to access to </w:t>
      </w:r>
      <w:r w:rsidR="00AE1C1D">
        <w:t xml:space="preserve">the costed provision map template please visit </w:t>
      </w:r>
      <w:hyperlink r:id="rId11" w:history="1">
        <w:r w:rsidR="00A91ED4" w:rsidRPr="00A91ED4">
          <w:rPr>
            <w:rStyle w:val="Hyperlink"/>
            <w:b/>
            <w:bCs/>
          </w:rPr>
          <w:t>https://sendcohub.stoke.gov.uk/resources/send-resources-1</w:t>
        </w:r>
      </w:hyperlink>
      <w:r w:rsidR="00A91ED4">
        <w:t xml:space="preserve"> </w:t>
      </w:r>
    </w:p>
    <w:p w14:paraId="03EA9D4F" w14:textId="33B4AE0A" w:rsidR="008823C7" w:rsidRPr="008823C7" w:rsidRDefault="008823C7" w:rsidP="008823C7"/>
    <w:sectPr w:rsidR="008823C7" w:rsidRPr="008823C7" w:rsidSect="00C50B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01B"/>
    <w:multiLevelType w:val="hybridMultilevel"/>
    <w:tmpl w:val="F25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52E2"/>
    <w:multiLevelType w:val="hybridMultilevel"/>
    <w:tmpl w:val="CBD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43B93"/>
    <w:multiLevelType w:val="hybridMultilevel"/>
    <w:tmpl w:val="8860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319E7"/>
    <w:multiLevelType w:val="hybridMultilevel"/>
    <w:tmpl w:val="7652C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3B3DF4"/>
    <w:multiLevelType w:val="hybridMultilevel"/>
    <w:tmpl w:val="1994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3526E"/>
    <w:multiLevelType w:val="hybridMultilevel"/>
    <w:tmpl w:val="3636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957363">
    <w:abstractNumId w:val="0"/>
  </w:num>
  <w:num w:numId="2" w16cid:durableId="1815678518">
    <w:abstractNumId w:val="4"/>
  </w:num>
  <w:num w:numId="3" w16cid:durableId="36587686">
    <w:abstractNumId w:val="3"/>
  </w:num>
  <w:num w:numId="4" w16cid:durableId="1032151358">
    <w:abstractNumId w:val="2"/>
  </w:num>
  <w:num w:numId="5" w16cid:durableId="234241898">
    <w:abstractNumId w:val="5"/>
  </w:num>
  <w:num w:numId="6" w16cid:durableId="162492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E2"/>
    <w:rsid w:val="00037343"/>
    <w:rsid w:val="000459BE"/>
    <w:rsid w:val="001367E7"/>
    <w:rsid w:val="001D5F7D"/>
    <w:rsid w:val="002105C4"/>
    <w:rsid w:val="0025261D"/>
    <w:rsid w:val="002E2F83"/>
    <w:rsid w:val="00304CA0"/>
    <w:rsid w:val="00376707"/>
    <w:rsid w:val="00382B99"/>
    <w:rsid w:val="00493DCA"/>
    <w:rsid w:val="004A3906"/>
    <w:rsid w:val="005165F9"/>
    <w:rsid w:val="005241C4"/>
    <w:rsid w:val="005D626B"/>
    <w:rsid w:val="006119B4"/>
    <w:rsid w:val="00624FEA"/>
    <w:rsid w:val="006570B5"/>
    <w:rsid w:val="0066117D"/>
    <w:rsid w:val="006628F6"/>
    <w:rsid w:val="006F0306"/>
    <w:rsid w:val="006F6B45"/>
    <w:rsid w:val="00726310"/>
    <w:rsid w:val="00771D04"/>
    <w:rsid w:val="007D02DB"/>
    <w:rsid w:val="007D4643"/>
    <w:rsid w:val="008823C7"/>
    <w:rsid w:val="008929F7"/>
    <w:rsid w:val="009052B0"/>
    <w:rsid w:val="009564D7"/>
    <w:rsid w:val="00976B9C"/>
    <w:rsid w:val="009B4E70"/>
    <w:rsid w:val="009F7828"/>
    <w:rsid w:val="00A21AB9"/>
    <w:rsid w:val="00A35682"/>
    <w:rsid w:val="00A356CE"/>
    <w:rsid w:val="00A67949"/>
    <w:rsid w:val="00A73FF3"/>
    <w:rsid w:val="00A91ED4"/>
    <w:rsid w:val="00A934C3"/>
    <w:rsid w:val="00AC2EDB"/>
    <w:rsid w:val="00AE05D3"/>
    <w:rsid w:val="00AE10E3"/>
    <w:rsid w:val="00AE1C1D"/>
    <w:rsid w:val="00B02194"/>
    <w:rsid w:val="00B2484D"/>
    <w:rsid w:val="00B3151D"/>
    <w:rsid w:val="00B437BC"/>
    <w:rsid w:val="00B87F8F"/>
    <w:rsid w:val="00BD2FF5"/>
    <w:rsid w:val="00BF52BF"/>
    <w:rsid w:val="00BF6FE5"/>
    <w:rsid w:val="00C50BE2"/>
    <w:rsid w:val="00C63D37"/>
    <w:rsid w:val="00CA789E"/>
    <w:rsid w:val="00D13190"/>
    <w:rsid w:val="00D27A0E"/>
    <w:rsid w:val="00D51D05"/>
    <w:rsid w:val="00D6307C"/>
    <w:rsid w:val="00DD3343"/>
    <w:rsid w:val="00E1103F"/>
    <w:rsid w:val="00EE7101"/>
    <w:rsid w:val="00F34FEE"/>
    <w:rsid w:val="00FA6BA3"/>
    <w:rsid w:val="00FB06F4"/>
    <w:rsid w:val="00FB7673"/>
    <w:rsid w:val="00FD4E88"/>
    <w:rsid w:val="00FE6E36"/>
    <w:rsid w:val="0877E870"/>
    <w:rsid w:val="1B04374D"/>
    <w:rsid w:val="2EDB289F"/>
    <w:rsid w:val="386B2646"/>
    <w:rsid w:val="3A21F50A"/>
    <w:rsid w:val="3A887102"/>
    <w:rsid w:val="3F7A1CAD"/>
    <w:rsid w:val="63E62B00"/>
    <w:rsid w:val="6EBF2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5DBE"/>
  <w15:chartTrackingRefBased/>
  <w15:docId w15:val="{EEC25ED6-C400-43FE-B548-D571D776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0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0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BE2"/>
    <w:rPr>
      <w:rFonts w:eastAsiaTheme="majorEastAsia" w:cstheme="majorBidi"/>
      <w:color w:val="272727" w:themeColor="text1" w:themeTint="D8"/>
    </w:rPr>
  </w:style>
  <w:style w:type="paragraph" w:styleId="Title">
    <w:name w:val="Title"/>
    <w:basedOn w:val="Normal"/>
    <w:next w:val="Normal"/>
    <w:link w:val="TitleChar"/>
    <w:uiPriority w:val="10"/>
    <w:qFormat/>
    <w:rsid w:val="002E2F83"/>
    <w:pPr>
      <w:spacing w:after="80" w:line="240" w:lineRule="auto"/>
      <w:contextualSpacing/>
    </w:pPr>
    <w:rPr>
      <w:rFonts w:ascii="Aptos ExtraBold" w:eastAsiaTheme="majorEastAsia" w:hAnsi="Aptos ExtraBold" w:cstheme="majorBidi"/>
      <w:spacing w:val="-10"/>
      <w:kern w:val="28"/>
      <w:sz w:val="56"/>
      <w:szCs w:val="56"/>
    </w:rPr>
  </w:style>
  <w:style w:type="character" w:customStyle="1" w:styleId="TitleChar">
    <w:name w:val="Title Char"/>
    <w:basedOn w:val="DefaultParagraphFont"/>
    <w:link w:val="Title"/>
    <w:uiPriority w:val="10"/>
    <w:rsid w:val="002E2F83"/>
    <w:rPr>
      <w:rFonts w:ascii="Aptos ExtraBold" w:eastAsiaTheme="majorEastAsia" w:hAnsi="Aptos ExtraBold" w:cstheme="majorBidi"/>
      <w:spacing w:val="-10"/>
      <w:kern w:val="28"/>
      <w:sz w:val="56"/>
      <w:szCs w:val="56"/>
    </w:rPr>
  </w:style>
  <w:style w:type="paragraph" w:styleId="Subtitle">
    <w:name w:val="Subtitle"/>
    <w:basedOn w:val="Normal"/>
    <w:next w:val="Normal"/>
    <w:link w:val="SubtitleChar"/>
    <w:uiPriority w:val="11"/>
    <w:qFormat/>
    <w:rsid w:val="00C50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BE2"/>
    <w:pPr>
      <w:spacing w:before="160"/>
      <w:jc w:val="center"/>
    </w:pPr>
    <w:rPr>
      <w:i/>
      <w:iCs/>
      <w:color w:val="404040" w:themeColor="text1" w:themeTint="BF"/>
    </w:rPr>
  </w:style>
  <w:style w:type="character" w:customStyle="1" w:styleId="QuoteChar">
    <w:name w:val="Quote Char"/>
    <w:basedOn w:val="DefaultParagraphFont"/>
    <w:link w:val="Quote"/>
    <w:uiPriority w:val="29"/>
    <w:rsid w:val="00C50BE2"/>
    <w:rPr>
      <w:i/>
      <w:iCs/>
      <w:color w:val="404040" w:themeColor="text1" w:themeTint="BF"/>
    </w:rPr>
  </w:style>
  <w:style w:type="paragraph" w:styleId="ListParagraph">
    <w:name w:val="List Paragraph"/>
    <w:basedOn w:val="Normal"/>
    <w:uiPriority w:val="34"/>
    <w:qFormat/>
    <w:rsid w:val="00C50BE2"/>
    <w:pPr>
      <w:ind w:left="720"/>
      <w:contextualSpacing/>
    </w:pPr>
  </w:style>
  <w:style w:type="character" w:styleId="IntenseEmphasis">
    <w:name w:val="Intense Emphasis"/>
    <w:basedOn w:val="DefaultParagraphFont"/>
    <w:uiPriority w:val="21"/>
    <w:qFormat/>
    <w:rsid w:val="00C50BE2"/>
    <w:rPr>
      <w:i/>
      <w:iCs/>
      <w:color w:val="0F4761" w:themeColor="accent1" w:themeShade="BF"/>
    </w:rPr>
  </w:style>
  <w:style w:type="paragraph" w:styleId="IntenseQuote">
    <w:name w:val="Intense Quote"/>
    <w:basedOn w:val="Normal"/>
    <w:next w:val="Normal"/>
    <w:link w:val="IntenseQuoteChar"/>
    <w:uiPriority w:val="30"/>
    <w:qFormat/>
    <w:rsid w:val="00C50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BE2"/>
    <w:rPr>
      <w:i/>
      <w:iCs/>
      <w:color w:val="0F4761" w:themeColor="accent1" w:themeShade="BF"/>
    </w:rPr>
  </w:style>
  <w:style w:type="character" w:styleId="IntenseReference">
    <w:name w:val="Intense Reference"/>
    <w:basedOn w:val="DefaultParagraphFont"/>
    <w:uiPriority w:val="32"/>
    <w:qFormat/>
    <w:rsid w:val="00C50BE2"/>
    <w:rPr>
      <w:b/>
      <w:bCs/>
      <w:smallCaps/>
      <w:color w:val="0F4761" w:themeColor="accent1" w:themeShade="BF"/>
      <w:spacing w:val="5"/>
    </w:rPr>
  </w:style>
  <w:style w:type="character" w:styleId="Hyperlink">
    <w:name w:val="Hyperlink"/>
    <w:basedOn w:val="DefaultParagraphFont"/>
    <w:uiPriority w:val="99"/>
    <w:unhideWhenUsed/>
    <w:rsid w:val="00AE05D3"/>
    <w:rPr>
      <w:color w:val="467886" w:themeColor="hyperlink"/>
      <w:u w:val="single"/>
    </w:rPr>
  </w:style>
  <w:style w:type="character" w:styleId="UnresolvedMention">
    <w:name w:val="Unresolved Mention"/>
    <w:basedOn w:val="DefaultParagraphFont"/>
    <w:uiPriority w:val="99"/>
    <w:semiHidden/>
    <w:unhideWhenUsed/>
    <w:rsid w:val="00AE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sendcohub.stoke.gov.uk/resources/send-resources-1" TargetMode="External"/><Relationship Id="rId5" Type="http://schemas.openxmlformats.org/officeDocument/2006/relationships/image" Target="media/image1.png"/><Relationship Id="rId10" Type="http://schemas.openxmlformats.org/officeDocument/2006/relationships/hyperlink" Target="mailto:SENMAS@stoke.gov.uk" TargetMode="Externa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1202</Words>
  <Characters>6856</Characters>
  <Application>Microsoft Office Word</Application>
  <DocSecurity>0</DocSecurity>
  <Lines>57</Lines>
  <Paragraphs>16</Paragraphs>
  <ScaleCrop>false</ScaleCrop>
  <Company>Stoke-on-Trent City Council</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Marson</dc:creator>
  <cp:keywords/>
  <dc:description/>
  <cp:lastModifiedBy>Daniel Marson</cp:lastModifiedBy>
  <cp:revision>62</cp:revision>
  <dcterms:created xsi:type="dcterms:W3CDTF">2025-02-18T12:08:00Z</dcterms:created>
  <dcterms:modified xsi:type="dcterms:W3CDTF">2025-09-25T18:33:00Z</dcterms:modified>
</cp:coreProperties>
</file>